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6" w:rsidRPr="00B16F46" w:rsidRDefault="00B16F46" w:rsidP="00B16F46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u w:val="single"/>
          <w:lang w:val="ro-RO"/>
        </w:rPr>
      </w:pPr>
      <w:r w:rsidRPr="00B16F46">
        <w:rPr>
          <w:rFonts w:ascii="Arial" w:hAnsi="Arial" w:cs="Arial"/>
          <w:b/>
          <w:u w:val="single"/>
          <w:lang w:val="ro-RO"/>
        </w:rPr>
        <w:t xml:space="preserve">Comisia de Evaluare de pe </w:t>
      </w:r>
      <w:proofErr w:type="spellStart"/>
      <w:r w:rsidRPr="00B16F46">
        <w:rPr>
          <w:rFonts w:ascii="Arial" w:hAnsi="Arial" w:cs="Arial"/>
          <w:b/>
          <w:u w:val="single"/>
          <w:lang w:val="ro-RO"/>
        </w:rPr>
        <w:t>lîngă</w:t>
      </w:r>
      <w:proofErr w:type="spellEnd"/>
      <w:r w:rsidRPr="00B16F46">
        <w:rPr>
          <w:rFonts w:ascii="Arial" w:hAnsi="Arial" w:cs="Arial"/>
          <w:b/>
          <w:u w:val="single"/>
          <w:lang w:val="ro-RO"/>
        </w:rPr>
        <w:t xml:space="preserve"> MDRC</w:t>
      </w:r>
    </w:p>
    <w:p w:rsidR="00B16F46" w:rsidRDefault="00B16F46" w:rsidP="00B16F46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lang w:val="ro-RO"/>
        </w:rPr>
      </w:pPr>
      <w:r w:rsidRPr="00B16F46">
        <w:rPr>
          <w:rFonts w:ascii="Arial" w:hAnsi="Arial" w:cs="Arial"/>
          <w:b/>
          <w:lang w:val="ro-RO"/>
        </w:rPr>
        <w:t>Grila de evaluare a propunerilor de proiect</w:t>
      </w:r>
    </w:p>
    <w:p w:rsidR="009F1574" w:rsidRDefault="009F1574" w:rsidP="00B16F46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lang w:val="ro-RO"/>
        </w:rPr>
      </w:pP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559"/>
        <w:gridCol w:w="4820"/>
      </w:tblGrid>
      <w:tr w:rsidR="009F1574" w:rsidRPr="0038275A" w:rsidTr="001C74F4">
        <w:tc>
          <w:tcPr>
            <w:tcW w:w="3994" w:type="dxa"/>
            <w:vAlign w:val="center"/>
          </w:tcPr>
          <w:p w:rsidR="009F1574" w:rsidRPr="009F1574" w:rsidRDefault="009F1574" w:rsidP="001C74F4">
            <w:pPr>
              <w:pStyle w:val="Table"/>
              <w:keepNext w:val="0"/>
              <w:rPr>
                <w:sz w:val="20"/>
                <w:szCs w:val="20"/>
                <w:lang w:val="ro-RO"/>
              </w:rPr>
            </w:pPr>
            <w:r w:rsidRPr="009F1574">
              <w:rPr>
                <w:sz w:val="20"/>
                <w:szCs w:val="20"/>
                <w:lang w:val="ro-RO"/>
              </w:rPr>
              <w:t>Codul unic de identificare al proiectului</w:t>
            </w:r>
          </w:p>
        </w:tc>
        <w:tc>
          <w:tcPr>
            <w:tcW w:w="1559" w:type="dxa"/>
            <w:vAlign w:val="center"/>
          </w:tcPr>
          <w:p w:rsidR="009F1574" w:rsidRPr="00004B7F" w:rsidRDefault="009F1574" w:rsidP="001C74F4">
            <w:pPr>
              <w:spacing w:line="276" w:lineRule="auto"/>
              <w:rPr>
                <w:i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:rsidR="009F1574" w:rsidRPr="00004B7F" w:rsidRDefault="009F1574" w:rsidP="001C74F4">
            <w:pPr>
              <w:pStyle w:val="Table"/>
              <w:keepNext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F1574" w:rsidRPr="00004B7F" w:rsidTr="001C74F4">
        <w:tc>
          <w:tcPr>
            <w:tcW w:w="3994" w:type="dxa"/>
            <w:vAlign w:val="center"/>
          </w:tcPr>
          <w:p w:rsidR="009F1574" w:rsidRPr="009F1574" w:rsidRDefault="009F1574" w:rsidP="001C74F4">
            <w:pPr>
              <w:pStyle w:val="Table"/>
              <w:keepNext w:val="0"/>
              <w:rPr>
                <w:sz w:val="20"/>
                <w:szCs w:val="20"/>
                <w:lang w:val="ro-RO"/>
              </w:rPr>
            </w:pPr>
            <w:r w:rsidRPr="009F1574">
              <w:rPr>
                <w:sz w:val="20"/>
                <w:szCs w:val="20"/>
                <w:lang w:val="ro-RO"/>
              </w:rPr>
              <w:t>Titlul proiectului</w:t>
            </w:r>
          </w:p>
        </w:tc>
        <w:tc>
          <w:tcPr>
            <w:tcW w:w="6379" w:type="dxa"/>
            <w:gridSpan w:val="2"/>
            <w:vAlign w:val="center"/>
          </w:tcPr>
          <w:p w:rsidR="009F1574" w:rsidRPr="00004B7F" w:rsidRDefault="009F1574" w:rsidP="001C74F4">
            <w:pPr>
              <w:pStyle w:val="Table"/>
              <w:keepNext w:val="0"/>
              <w:jc w:val="center"/>
              <w:rPr>
                <w:sz w:val="20"/>
                <w:szCs w:val="20"/>
                <w:lang w:val="ro-RO"/>
              </w:rPr>
            </w:pPr>
          </w:p>
          <w:p w:rsidR="009F1574" w:rsidRPr="00004B7F" w:rsidRDefault="009F1574" w:rsidP="001C74F4">
            <w:pPr>
              <w:pStyle w:val="Table"/>
              <w:keepNext w:val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9F1574" w:rsidRPr="00026FAD" w:rsidRDefault="009F1574" w:rsidP="009F1574">
      <w:pPr>
        <w:jc w:val="center"/>
        <w:rPr>
          <w:b/>
          <w:sz w:val="16"/>
          <w:szCs w:val="16"/>
          <w:lang w:val="ro-RO"/>
        </w:rPr>
      </w:pPr>
    </w:p>
    <w:p w:rsidR="00026FAD" w:rsidRDefault="00026FAD" w:rsidP="009F1574">
      <w:pPr>
        <w:jc w:val="center"/>
        <w:rPr>
          <w:b/>
          <w:lang w:val="ro-RO"/>
        </w:rPr>
      </w:pPr>
    </w:p>
    <w:p w:rsidR="009F1574" w:rsidRPr="009F1574" w:rsidRDefault="009F1574" w:rsidP="009F1574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9F1574">
        <w:rPr>
          <w:rFonts w:ascii="Arial" w:hAnsi="Arial" w:cs="Arial"/>
          <w:b/>
          <w:sz w:val="22"/>
          <w:szCs w:val="22"/>
          <w:lang w:val="ro-RO"/>
        </w:rPr>
        <w:t>Punctaj acumulat conform criteriilor de evaluare</w:t>
      </w:r>
    </w:p>
    <w:p w:rsidR="00B16F46" w:rsidRDefault="00B16F46" w:rsidP="00B16F46">
      <w:pPr>
        <w:tabs>
          <w:tab w:val="left" w:pos="1134"/>
        </w:tabs>
        <w:spacing w:line="276" w:lineRule="auto"/>
        <w:jc w:val="center"/>
        <w:rPr>
          <w:u w:val="single"/>
          <w:lang w:val="ro-RO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64"/>
        <w:gridCol w:w="6274"/>
        <w:gridCol w:w="1011"/>
        <w:gridCol w:w="1250"/>
        <w:gridCol w:w="1250"/>
      </w:tblGrid>
      <w:tr w:rsidR="00B16F46" w:rsidRPr="00A66CF6" w:rsidTr="00AC717C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6F46" w:rsidRPr="00A66CF6" w:rsidRDefault="00B16F46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654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16F46" w:rsidRPr="00A66CF6" w:rsidRDefault="00B16F46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16F46" w:rsidRPr="00A66CF6" w:rsidRDefault="00B16F46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Punctaj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16F46" w:rsidRPr="00026FAD" w:rsidRDefault="00026FAD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Coeficient importanță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6F46" w:rsidRPr="00A66CF6" w:rsidRDefault="00B16F46" w:rsidP="00026FAD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Scor = punctaj x </w:t>
            </w:r>
            <w:r w:rsidR="00026FAD">
              <w:rPr>
                <w:rFonts w:ascii="Arial" w:hAnsi="Arial" w:cs="Arial"/>
                <w:b/>
                <w:sz w:val="20"/>
                <w:szCs w:val="20"/>
                <w:lang w:val="ro-RO"/>
              </w:rPr>
              <w:t>importanță</w:t>
            </w:r>
          </w:p>
        </w:tc>
      </w:tr>
      <w:tr w:rsidR="00BA42E1" w:rsidRPr="0038275A" w:rsidTr="00A26BA6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E1" w:rsidRPr="00A66CF6" w:rsidRDefault="00BA42E1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eastAsiaTheme="minorHAnsi" w:hAnsi="Arial" w:cs="Arial"/>
                <w:b/>
                <w:bCs/>
                <w:sz w:val="20"/>
                <w:szCs w:val="20"/>
                <w:lang w:val="ro-RO" w:eastAsia="en-US"/>
              </w:rPr>
              <w:t>1. Contribuția proiectului la realizarea obiectivelor strategi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ro-RO" w:eastAsia="en-US"/>
              </w:rPr>
              <w:t>i</w:t>
            </w:r>
            <w:r w:rsidRPr="00A66CF6">
              <w:rPr>
                <w:rFonts w:ascii="Arial" w:eastAsiaTheme="minorHAnsi" w:hAnsi="Arial" w:cs="Arial"/>
                <w:b/>
                <w:bCs/>
                <w:sz w:val="20"/>
                <w:szCs w:val="20"/>
                <w:lang w:val="ro-RO" w:eastAsia="en-US"/>
              </w:rPr>
              <w:t>lor sectoriale (după caz)</w:t>
            </w:r>
          </w:p>
        </w:tc>
      </w:tr>
      <w:tr w:rsidR="00B16F46" w:rsidRPr="00A66CF6" w:rsidTr="002854C1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B16F46" w:rsidP="007707A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2854C1" w:rsidP="007707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Proiectul este coerent legat de obiectivele strategice sectoriale la nivel național și demonstrează o conexiune integrată cu celelalte proiecte din acest domeniu</w:t>
            </w:r>
            <w:r w:rsidR="009F157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7707A7" w:rsidP="00770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7707A7" w:rsidP="00770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C717C">
              <w:rPr>
                <w:rFonts w:ascii="Arial" w:hAnsi="Arial" w:cs="Arial"/>
                <w:b/>
                <w:sz w:val="20"/>
                <w:szCs w:val="20"/>
                <w:lang w:val="ro-RO"/>
              </w:rPr>
              <w:t>x4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16F46" w:rsidRPr="00A66CF6" w:rsidRDefault="00B16F46" w:rsidP="007707A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Exemplu:</w:t>
            </w:r>
          </w:p>
          <w:p w:rsidR="00B16F46" w:rsidRPr="00A66CF6" w:rsidRDefault="00AC717C" w:rsidP="00AC717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B16F46"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B16F46"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 = 12</w:t>
            </w:r>
          </w:p>
        </w:tc>
      </w:tr>
      <w:tr w:rsidR="00B16F46" w:rsidRPr="00A66CF6" w:rsidTr="002854C1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B16F46" w:rsidP="007707A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2854C1" w:rsidP="00026F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Proiectul este elaborat pornind de la prioritățile sectoriale </w:t>
            </w:r>
            <w:r w:rsidR="007707A7"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însă nu dovedește 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un aport sporit la atingerea obiectivelor</w:t>
            </w:r>
            <w:r w:rsidR="00026FA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7707A7" w:rsidRPr="00A66CF6">
              <w:rPr>
                <w:rFonts w:ascii="Arial" w:hAnsi="Arial" w:cs="Arial"/>
                <w:sz w:val="20"/>
                <w:szCs w:val="20"/>
                <w:lang w:val="ro-RO"/>
              </w:rPr>
              <w:t>sectoriale la nivel național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 sau co</w:t>
            </w:r>
            <w:r w:rsidR="007707A7" w:rsidRPr="00A66CF6">
              <w:rPr>
                <w:rFonts w:ascii="Arial" w:hAnsi="Arial" w:cs="Arial"/>
                <w:sz w:val="20"/>
                <w:szCs w:val="20"/>
                <w:lang w:val="ro-RO"/>
              </w:rPr>
              <w:t>nexiunea cu celelalte proiecte din acest domeniu</w:t>
            </w:r>
            <w:r w:rsidR="009F157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7707A7" w:rsidP="00770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46" w:rsidRPr="00A66CF6" w:rsidRDefault="00B16F46" w:rsidP="00770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B16F46" w:rsidRPr="00A66CF6" w:rsidRDefault="00B16F46" w:rsidP="007707A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477C3" w:rsidRPr="00A66CF6" w:rsidTr="00AC717C">
        <w:trPr>
          <w:trHeight w:val="703"/>
        </w:trPr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477C3" w:rsidRPr="00A66CF6" w:rsidRDefault="00B477C3" w:rsidP="007707A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477C3" w:rsidRPr="00A66CF6" w:rsidRDefault="00B477C3" w:rsidP="007707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Legătura dintre proiect și obiectivele strategice sectoriale este ambiguă sau lipsește, proiectul demonstrează o conexiune limitată cu alte proiecte similare sau aceasta lipsește</w:t>
            </w:r>
            <w:r w:rsidR="009F157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477C3" w:rsidRPr="00A66CF6" w:rsidRDefault="00B477C3" w:rsidP="00B477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B477C3" w:rsidRPr="00A66CF6" w:rsidRDefault="00B477C3" w:rsidP="007707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77C3" w:rsidRPr="00A66CF6" w:rsidRDefault="00B477C3" w:rsidP="007707A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42E1" w:rsidRPr="0038275A" w:rsidTr="00AC717C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E1" w:rsidRPr="00A66CF6" w:rsidRDefault="00BA42E1" w:rsidP="00001B6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eastAsiaTheme="minorHAnsi" w:hAnsi="Arial" w:cs="Arial"/>
                <w:b/>
                <w:bCs/>
                <w:sz w:val="20"/>
                <w:szCs w:val="20"/>
                <w:lang w:val="ro-RO" w:eastAsia="en-US"/>
              </w:rPr>
              <w:t xml:space="preserve">2. Metodologia de implementare </w:t>
            </w:r>
            <w:r w:rsidRPr="00A66CF6">
              <w:rPr>
                <w:rFonts w:ascii="Arial" w:eastAsiaTheme="minorHAnsi" w:hAnsi="Arial" w:cs="Arial"/>
                <w:b/>
                <w:sz w:val="20"/>
                <w:szCs w:val="20"/>
                <w:lang w:val="ro-RO" w:eastAsia="en-US"/>
              </w:rPr>
              <w:t>a proiectului</w:t>
            </w:r>
          </w:p>
        </w:tc>
      </w:tr>
      <w:tr w:rsidR="00DC41F7" w:rsidRPr="00A66CF6" w:rsidTr="00E56E8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443FEC" w:rsidRDefault="00DC41F7" w:rsidP="00001B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>Obiectivele proiectului sunt clare şi pot fi atinse în perspectiva realizării proiectului. Activităţile proiectului sunt clar i</w:t>
            </w:r>
            <w:r w:rsidR="00026FAD">
              <w:rPr>
                <w:rFonts w:ascii="Arial" w:hAnsi="Arial" w:cs="Arial"/>
                <w:sz w:val="20"/>
                <w:szCs w:val="20"/>
                <w:lang w:val="ro-RO"/>
              </w:rPr>
              <w:t xml:space="preserve">dentificate şi detaliate şi </w:t>
            </w:r>
            <w:proofErr w:type="spellStart"/>
            <w:r w:rsidR="00026FAD">
              <w:rPr>
                <w:rFonts w:ascii="Arial" w:hAnsi="Arial" w:cs="Arial"/>
                <w:sz w:val="20"/>
                <w:szCs w:val="20"/>
                <w:lang w:val="ro-RO"/>
              </w:rPr>
              <w:t>strî</w:t>
            </w:r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>ns</w:t>
            </w:r>
            <w:proofErr w:type="spellEnd"/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 xml:space="preserve"> corelate în cadrul planului de acțiuni cu responsabilități clar distribuite între parteneri/membrii echipei. Rezultatele proiectului şi indicatorii de realizare sunt corelaţi cu activităţile. Sunt identificate mecanisme adecvate de gestionare a riscurilor</w:t>
            </w:r>
            <w:r w:rsidR="009F157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10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x3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E56E8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443FEC" w:rsidRDefault="00443FEC" w:rsidP="00001B6F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>- Situație intermediară între 3 și 5 puncte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E56E8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Obiectivele proiectului pot fi parţial atinse în perspectiva realizării proiectului. Activităţile proiectului sunt identificate şi detaliate şi parţial corelate cu planul de acțiuni. Majoritatea responsabilităților au fost distribuite între parteneri/membrii echipei. Rezultatele proiectului şi indicatorii de realizare sunt parţial corelaţi cu activităţile. Mecanismele de gestionare a riscurilor lipsesc sau sunt ineficace</w:t>
            </w:r>
            <w:r w:rsidR="009F157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E56E8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443FEC" w:rsidRDefault="00443FEC" w:rsidP="00443FEC">
            <w:pPr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 xml:space="preserve">- Situație intermediară între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Pr="00443FEC">
              <w:rPr>
                <w:rFonts w:ascii="Arial" w:hAnsi="Arial" w:cs="Arial"/>
                <w:sz w:val="20"/>
                <w:szCs w:val="20"/>
                <w:lang w:val="ro-RO"/>
              </w:rPr>
              <w:t xml:space="preserve"> puncte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AC717C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Obiectivele proiectului nu sunt realiste. Activităţile proiectului sunt identificate dar nu sunt corelate cu planul de acțiuni. Nu sunt întru totul clare responsabilitățile partenerilor/membrilor echipei de proiect. Rezultatele proiectului şi indicatorii de realizare sunt slab corelaţi cu activităţile. Nu au fost identificate riscuri sau mecanisme de gestionare a </w:t>
            </w:r>
            <w:r w:rsidR="00AC717C">
              <w:rPr>
                <w:rFonts w:ascii="Arial" w:hAnsi="Arial" w:cs="Arial"/>
                <w:sz w:val="20"/>
                <w:szCs w:val="20"/>
                <w:lang w:val="ro-RO"/>
              </w:rPr>
              <w:t>acestora</w:t>
            </w:r>
            <w:r w:rsidR="009F157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01B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C41F7" w:rsidRPr="00A66CF6" w:rsidRDefault="00DC41F7" w:rsidP="00001B6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42E1" w:rsidRPr="0038275A" w:rsidTr="00AC717C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E1" w:rsidRPr="00BA42E1" w:rsidRDefault="00BA42E1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A42E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3. Contribuția activităţilor proiectului la dezvoltarea zonelor defavorizate. Dacă, conform gradului de </w:t>
            </w:r>
            <w:proofErr w:type="spellStart"/>
            <w:r w:rsidRPr="00BA42E1">
              <w:rPr>
                <w:rFonts w:ascii="Arial" w:hAnsi="Arial" w:cs="Arial"/>
                <w:b/>
                <w:sz w:val="20"/>
                <w:szCs w:val="20"/>
                <w:lang w:val="ro-RO"/>
              </w:rPr>
              <w:t>deprivare</w:t>
            </w:r>
            <w:proofErr w:type="spellEnd"/>
            <w:r w:rsidRPr="00BA42E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stabilit în baza Indicelui de </w:t>
            </w:r>
            <w:proofErr w:type="spellStart"/>
            <w:r w:rsidRPr="00BA42E1">
              <w:rPr>
                <w:rFonts w:ascii="Arial" w:hAnsi="Arial" w:cs="Arial"/>
                <w:b/>
                <w:sz w:val="20"/>
                <w:szCs w:val="20"/>
                <w:lang w:val="ro-RO"/>
              </w:rPr>
              <w:t>Deprivare</w:t>
            </w:r>
            <w:proofErr w:type="spellEnd"/>
            <w:r w:rsidRPr="00BA42E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a Ariilor Mici, 2009, beneficiarii se află în: </w:t>
            </w:r>
          </w:p>
        </w:tc>
      </w:tr>
      <w:tr w:rsidR="00DC41F7" w:rsidRPr="00A66CF6" w:rsidTr="002D6CF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BA4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rimele 20% cele mai </w:t>
            </w:r>
            <w:proofErr w:type="spellStart"/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deprivate</w:t>
            </w:r>
            <w:proofErr w:type="spellEnd"/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 comunități/raioane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0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x3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2D6CF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B47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e la 21% la 50%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AC717C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D66B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e la 51% la </w:t>
            </w:r>
            <w:r w:rsidR="00D66B6F">
              <w:rPr>
                <w:rFonts w:ascii="Arial" w:hAnsi="Arial" w:cs="Arial"/>
                <w:sz w:val="20"/>
                <w:szCs w:val="20"/>
                <w:lang w:val="ro-RO"/>
              </w:rPr>
              <w:t>100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%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42E1" w:rsidRPr="0038275A" w:rsidTr="00AC717C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E1" w:rsidRPr="00A66CF6" w:rsidRDefault="00BA42E1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lastRenderedPageBreak/>
              <w:t xml:space="preserve">4. </w:t>
            </w: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Durabilitatea proiectului după încetarea finanțării</w:t>
            </w:r>
          </w:p>
        </w:tc>
      </w:tr>
      <w:tr w:rsidR="00DC41F7" w:rsidRPr="00BE4847" w:rsidTr="00F41EAD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BE48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olicitantul demonstrează capacitate solidă de a asigura menținerea, întreținerea și funcționarea investiției</w:t>
            </w:r>
            <w:r w:rsidR="00BE4847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66B6F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x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BE4847" w:rsidTr="00F41EAD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B47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olicitantul demonstrează capacitate relativă de a asigura menținerea, întreținerea și funcționarea investiției</w:t>
            </w:r>
            <w:r w:rsidR="00BE484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AC717C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AC71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olicitantul nu demonstrează sau dispune de capacitate limitată de a asigura menținerea, întreținerea și funcționarea investiției</w:t>
            </w:r>
            <w:r w:rsidR="00BE484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42E1" w:rsidRPr="0038275A" w:rsidTr="00AC717C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E1" w:rsidRPr="00A66CF6" w:rsidRDefault="00BA42E1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5. </w:t>
            </w: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Cofinanțarea proiectului din alte surse</w:t>
            </w:r>
          </w:p>
        </w:tc>
      </w:tr>
      <w:tr w:rsidR="00DC41F7" w:rsidRPr="00A66CF6" w:rsidTr="00390B4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DC41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ofinanțare confirmată de peste 50 la sută din valoarea proiectului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38275A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0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x2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8275A" w:rsidRPr="0038275A" w:rsidTr="00390B4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75A" w:rsidRPr="00A66CF6" w:rsidRDefault="0038275A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75A" w:rsidRDefault="0038275A" w:rsidP="00DC41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ofinanțare confirmată de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la 20 </w:t>
            </w:r>
            <w:proofErr w:type="spellStart"/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pîna</w:t>
            </w:r>
            <w:proofErr w:type="spellEnd"/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50 la sută din valoarea proiectului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75A" w:rsidRDefault="0038275A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75A" w:rsidRDefault="0038275A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8275A" w:rsidRPr="00A66CF6" w:rsidRDefault="0038275A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390B43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3827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ofinanțare confirmată de </w:t>
            </w:r>
            <w:proofErr w:type="spellStart"/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pîna</w:t>
            </w:r>
            <w:proofErr w:type="spellEnd"/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 la </w:t>
            </w:r>
            <w:r w:rsidR="0038275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0 la sută din valoarea proiectului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38275A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AC717C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DC41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u există cofinanțare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42E1" w:rsidRPr="0038275A" w:rsidTr="00AC717C"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E1" w:rsidRPr="00A66CF6" w:rsidRDefault="00BA42E1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6. </w:t>
            </w:r>
            <w:r w:rsidRPr="00A66CF6">
              <w:rPr>
                <w:rFonts w:ascii="Arial" w:hAnsi="Arial" w:cs="Arial"/>
                <w:b/>
                <w:sz w:val="20"/>
                <w:szCs w:val="20"/>
                <w:lang w:val="ro-RO"/>
              </w:rPr>
              <w:t>Gradul de pregătire/maturitate a propunerii de proiect</w:t>
            </w:r>
          </w:p>
        </w:tc>
      </w:tr>
      <w:tr w:rsidR="00DC41F7" w:rsidRPr="00A66CF6" w:rsidTr="00567C6B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C04A3C" w:rsidRDefault="00DC41F7" w:rsidP="009F1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 xml:space="preserve">Gradul de pregătire a proiectului permite demararea imediată a procedurii de achiziții publice (solicitantul dispune de toate autorizațiile și a prezentat toată documentația (inclusiv tehnică, după caz) necesară).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0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x3</w:t>
            </w:r>
          </w:p>
        </w:tc>
        <w:tc>
          <w:tcPr>
            <w:tcW w:w="1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567C6B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C04A3C" w:rsidRDefault="00C04A3C" w:rsidP="00C04A3C">
            <w:pPr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>- Situație intermediară între 2 și 4 puncte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567C6B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C04A3C" w:rsidRDefault="00DC41F7" w:rsidP="00DC41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>Gradul de pregătire a proiectului permite demararea procedurii de achiziții publice în maxim 3 luni (solicitantul a prezentat majoritatea documentației (inclusiv tehnice, după caz)</w:t>
            </w:r>
            <w:r w:rsidR="00BE4847" w:rsidRPr="00C04A3C">
              <w:rPr>
                <w:rFonts w:ascii="Arial" w:hAnsi="Arial" w:cs="Arial"/>
                <w:sz w:val="20"/>
                <w:szCs w:val="20"/>
                <w:lang w:val="ro-RO"/>
              </w:rPr>
              <w:t xml:space="preserve"> necesară</w:t>
            </w: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>. O mare parte din problemele legate de terenurile și/sau proprietățile necesare pentru implementarea proiectului au fost soluționate.</w:t>
            </w:r>
            <w:r w:rsidRPr="00C04A3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567C6B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C04A3C" w:rsidRDefault="00C04A3C" w:rsidP="00C04A3C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 xml:space="preserve">- Situație intermediară între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 xml:space="preserve"> și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Pr="00C04A3C">
              <w:rPr>
                <w:rFonts w:ascii="Arial" w:hAnsi="Arial" w:cs="Arial"/>
                <w:sz w:val="20"/>
                <w:szCs w:val="20"/>
                <w:lang w:val="ro-RO"/>
              </w:rPr>
              <w:t xml:space="preserve"> puncte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C41F7" w:rsidRPr="00A66CF6" w:rsidTr="00AC717C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6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DC41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G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 xml:space="preserve">radul de pregătire a proiectului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nu </w:t>
            </w:r>
            <w:r w:rsidRPr="00A66CF6">
              <w:rPr>
                <w:rFonts w:ascii="Arial" w:hAnsi="Arial" w:cs="Arial"/>
                <w:sz w:val="20"/>
                <w:szCs w:val="20"/>
                <w:lang w:val="ro-RO"/>
              </w:rPr>
              <w:t>permite demararea procedurii de achiziții publice în cel puțin 6 luni (lipsește majoritatea documentați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ei, inclusiv tehnice, după caz). Nu au fost soluționate problemele legate de terenurile și/sau proprietățile necesare pentru implementarea proiectului.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07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DC41F7" w:rsidRPr="00A66CF6" w:rsidRDefault="00DC41F7" w:rsidP="000871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C41F7" w:rsidRPr="00A66CF6" w:rsidRDefault="00DC41F7" w:rsidP="000871C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16F46" w:rsidRDefault="00B16F46" w:rsidP="00B16F46">
      <w:pPr>
        <w:tabs>
          <w:tab w:val="left" w:pos="1134"/>
        </w:tabs>
        <w:spacing w:line="276" w:lineRule="auto"/>
        <w:jc w:val="both"/>
        <w:rPr>
          <w:u w:val="single"/>
          <w:lang w:val="ro-RO"/>
        </w:rPr>
      </w:pPr>
    </w:p>
    <w:p w:rsidR="00B16F46" w:rsidRDefault="00AC717C" w:rsidP="00B16F46">
      <w:pPr>
        <w:tabs>
          <w:tab w:val="left" w:pos="1134"/>
        </w:tabs>
        <w:spacing w:line="276" w:lineRule="auto"/>
        <w:jc w:val="both"/>
        <w:rPr>
          <w:u w:val="single"/>
          <w:lang w:val="ro-RO"/>
        </w:rPr>
      </w:pPr>
      <w:r>
        <w:rPr>
          <w:u w:val="single"/>
          <w:lang w:val="ro-RO"/>
        </w:rPr>
        <w:t>Punctaj maxim – 60</w:t>
      </w:r>
    </w:p>
    <w:p w:rsidR="00AC717C" w:rsidRPr="00687F33" w:rsidRDefault="00AC717C" w:rsidP="00B16F46">
      <w:pPr>
        <w:tabs>
          <w:tab w:val="left" w:pos="1134"/>
        </w:tabs>
        <w:spacing w:line="276" w:lineRule="auto"/>
        <w:jc w:val="both"/>
        <w:rPr>
          <w:u w:val="single"/>
          <w:lang w:val="ro-RO"/>
        </w:rPr>
      </w:pPr>
      <w:r>
        <w:rPr>
          <w:u w:val="single"/>
          <w:lang w:val="ro-RO"/>
        </w:rPr>
        <w:t>Punctaj minim – 10</w:t>
      </w:r>
    </w:p>
    <w:p w:rsidR="008466BF" w:rsidRPr="00B16F46" w:rsidRDefault="008466BF">
      <w:pPr>
        <w:rPr>
          <w:lang w:val="ro-RO"/>
        </w:rPr>
      </w:pPr>
    </w:p>
    <w:sectPr w:rsidR="008466BF" w:rsidRPr="00B16F46" w:rsidSect="00AC717C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EE9"/>
    <w:multiLevelType w:val="hybridMultilevel"/>
    <w:tmpl w:val="1E34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3CDC"/>
    <w:multiLevelType w:val="hybridMultilevel"/>
    <w:tmpl w:val="AAB08F52"/>
    <w:lvl w:ilvl="0" w:tplc="9F749248">
      <w:start w:val="1"/>
      <w:numFmt w:val="bullet"/>
      <w:pStyle w:val="Claus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756FC7"/>
    <w:multiLevelType w:val="hybridMultilevel"/>
    <w:tmpl w:val="DC36A8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38F0168"/>
    <w:multiLevelType w:val="hybridMultilevel"/>
    <w:tmpl w:val="F132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1679A"/>
    <w:multiLevelType w:val="hybridMultilevel"/>
    <w:tmpl w:val="B6A8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8"/>
    <w:rsid w:val="00001B6F"/>
    <w:rsid w:val="00026FAD"/>
    <w:rsid w:val="002854C1"/>
    <w:rsid w:val="0038275A"/>
    <w:rsid w:val="003D7ECA"/>
    <w:rsid w:val="00443FEC"/>
    <w:rsid w:val="007707A7"/>
    <w:rsid w:val="008466BF"/>
    <w:rsid w:val="009147A8"/>
    <w:rsid w:val="009F1574"/>
    <w:rsid w:val="00A66CF6"/>
    <w:rsid w:val="00AC717C"/>
    <w:rsid w:val="00B16F46"/>
    <w:rsid w:val="00B477C3"/>
    <w:rsid w:val="00B96138"/>
    <w:rsid w:val="00BA42E1"/>
    <w:rsid w:val="00BE4847"/>
    <w:rsid w:val="00C04A3C"/>
    <w:rsid w:val="00CD4747"/>
    <w:rsid w:val="00D66B6F"/>
    <w:rsid w:val="00D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autoRedefine/>
    <w:rsid w:val="00B16F46"/>
    <w:pPr>
      <w:numPr>
        <w:numId w:val="1"/>
      </w:numPr>
      <w:tabs>
        <w:tab w:val="left" w:pos="993"/>
      </w:tabs>
      <w:spacing w:line="360" w:lineRule="auto"/>
      <w:jc w:val="both"/>
    </w:pPr>
    <w:rPr>
      <w:lang w:val="ro-RO" w:eastAsia="en-US"/>
    </w:rPr>
  </w:style>
  <w:style w:type="table" w:styleId="TableGrid">
    <w:name w:val="Table Grid"/>
    <w:basedOn w:val="TableNormal"/>
    <w:uiPriority w:val="59"/>
    <w:rsid w:val="00B1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">
    <w:name w:val="Table"/>
    <w:basedOn w:val="Normal"/>
    <w:rsid w:val="009F1574"/>
    <w:pPr>
      <w:keepNext/>
      <w:keepLines/>
      <w:spacing w:line="200" w:lineRule="atLeast"/>
    </w:pPr>
    <w:rPr>
      <w:rFonts w:ascii="Arial" w:hAnsi="Arial" w:cs="Arial"/>
      <w:sz w:val="18"/>
      <w:szCs w:val="18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autoRedefine/>
    <w:rsid w:val="00B16F46"/>
    <w:pPr>
      <w:numPr>
        <w:numId w:val="1"/>
      </w:numPr>
      <w:tabs>
        <w:tab w:val="left" w:pos="993"/>
      </w:tabs>
      <w:spacing w:line="360" w:lineRule="auto"/>
      <w:jc w:val="both"/>
    </w:pPr>
    <w:rPr>
      <w:lang w:val="ro-RO" w:eastAsia="en-US"/>
    </w:rPr>
  </w:style>
  <w:style w:type="table" w:styleId="TableGrid">
    <w:name w:val="Table Grid"/>
    <w:basedOn w:val="TableNormal"/>
    <w:uiPriority w:val="59"/>
    <w:rsid w:val="00B1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">
    <w:name w:val="Table"/>
    <w:basedOn w:val="Normal"/>
    <w:rsid w:val="009F1574"/>
    <w:pPr>
      <w:keepNext/>
      <w:keepLines/>
      <w:spacing w:line="200" w:lineRule="atLeast"/>
    </w:pPr>
    <w:rPr>
      <w:rFonts w:ascii="Arial" w:hAnsi="Arial" w:cs="Arial"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14</cp:revision>
  <cp:lastPrinted>2012-03-19T19:07:00Z</cp:lastPrinted>
  <dcterms:created xsi:type="dcterms:W3CDTF">2012-03-14T10:32:00Z</dcterms:created>
  <dcterms:modified xsi:type="dcterms:W3CDTF">2012-03-22T21:35:00Z</dcterms:modified>
</cp:coreProperties>
</file>